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2005 17 vom 4. Februar 2005</w:t>
      </w:r>
    </w:p>
    <w:p>
      <w:r>
        <w:t>GR Gerichte, 2005-02-04, DE</w:t>
      </w:r>
    </w:p>
    <w:p>
      <w:r>
        <w:rPr>
          <w:b/>
        </w:rPr>
        <w:t xml:space="preserve">Quelle: </w:t>
      </w:r>
      <w:r>
        <w:t>https://mcp.opencaselaw.ch/entscheid/gr_gerichte_PZ 2005 17</w:t>
      </w:r>
    </w:p>
    <w:p>
      <w:r>
        <w:t>FR: GR_GERICHTE PZ 2005 17 du 4 février 2005</w:t>
      </w:r>
    </w:p>
    <w:p>
      <w:r>
        <w:t>IT: GR_GERICHTE PZ 2005 17 del 4 febbraio 2005</w:t>
      </w:r>
    </w:p>
    <w:p>
      <w:pPr>
        <w:pStyle w:val="Heading2"/>
      </w:pPr>
      <w:r>
        <w:t>Regeste</w:t>
      </w:r>
    </w:p>
    <w:p>
      <w:r>
        <w:t>Eheschutz | Familienrecht</w:t>
      </w:r>
    </w:p>
    <w:p>
      <w:pPr>
        <w:pStyle w:val="Heading2"/>
      </w:pPr>
      <w:r>
        <w:t>Erwägungen</w:t>
      </w:r>
    </w:p>
    <w:p>
      <w:r>
        <w:rPr>
          <w:b/>
        </w:rPr>
        <w:t>E. 2</w:t>
      </w:r>
    </w:p>
    <w:p>
      <w:r>
        <w:t>Der gemeinsame Sohn A. sei unter die elterliche Obhut der Gesuch- stellerin zu stellen. Dem Gesuchsgegner sei ein angemessenes Be- suchs- und Ferienrecht einzuräumen.</w:t>
      </w:r>
    </w:p>
    <w:p>
      <w:r>
        <w:rPr>
          <w:b/>
        </w:rPr>
        <w:t>E. 3</w:t>
      </w:r>
    </w:p>
    <w:p>
      <w:r>
        <w:t>Die eheliche Wohnung in B. sei dem Gesuchsgegner zur alleinigen Benützung zuzuweisen.</w:t>
      </w:r>
    </w:p>
    <w:p>
      <w:r>
        <w:rPr>
          <w:b/>
        </w:rPr>
        <w:t>E. 4</w:t>
      </w:r>
    </w:p>
    <w:p>
      <w:r>
        <w:t>a) Der Gesuchsgegner sei zu verpflichten, an den Unterhalt der Gesuch- stellerin und des gemeinsamen Sohnes A. per sofort einen Beitrag von CHF 1630.- und ab dem 01. September 2004 jeweils einen monatlichen, pränumerando zahlbaren Beitrag in Höhe von CHF 3630.- zuzüglich all- fälliger Kinderzulagen zu bezahlen. b) Der Gesuchsgegner sei darüber hinaus zu verpflichten, die Kranken- kassenbeiträge für den gemeinsamen Sohn A. zu bezahlen.</w:t>
      </w:r>
    </w:p>
    <w:p>
      <w:r>
        <w:rPr>
          <w:b/>
        </w:rPr>
        <w:t>E. 5</w:t>
      </w:r>
    </w:p>
    <w:p>
      <w:r>
        <w:t>Falls die Voraussetzungen für die Bewilligung der unentgeltlichen Pro- zessführung und –verbeiständung nicht erfüllt sind, sei der Gesuchs- gegner zu verpflichten, der Gesuchstellerin einen Prozesskostenvor- schuss von CHF 4000.- zu bezahlen.</w:t>
      </w:r>
    </w:p>
    <w:p>
      <w:r>
        <w:rPr>
          <w:b/>
        </w:rPr>
        <w:t>E. 6</w:t>
      </w:r>
    </w:p>
    <w:p>
      <w:r>
        <w:t>Unter vollumfänglicher Kosten- und Entschädigungsfolge zu Lasten des Gesuchsgegners.</w:t>
      </w:r>
    </w:p>
    <w:p>
      <w:r>
        <w:rPr>
          <w:b/>
        </w:rPr>
        <w:t>E. 7</w:t>
      </w:r>
    </w:p>
    <w:p>
      <w:r>
        <w:t>nachstehend noch dargelegt wird - noch allfällige Unklarheiten zum Sachverhalt ab- schliessend klären müssen. 3. Die Vorinstanz hat in Ziff. 1 der angefochtenen Verfügung erkannt, die Eheleute seien berechtigt, getrennt zu leben. In Ziff. 2 wurde die Obhut über den Sohn A. Z. zugeteilt und das Besuchsrecht geregelt. Die Parteien rügen diese Punkte der Verfügung nicht, weshalb sich weitere Ausführungen dazu erübrigen. 4. In Bezug auf die vom Bezirksgerichtspräsidium C. in Ziff. 3, 4 und 5 des Dispositivs festgelegten Unterhaltszahlungen gilt es folgendes festzuhalten: Aus dem verfassungsrechtlich garantierten Anspruch auf rechtliches Gehör wie auch aus der in Art. 121 Ziffer 4 ZPO verankerten Begründungspflicht folgt, dass die massgeblichen Tatsachen und Beweismittel, welche die Behörde zum Erlass eines Entscheides bewogen haben, in dessen Begründung aufzuscheinen haben. Dabei richtet sich die Begründungsdichte nach den Umständen des Einzelfalles. Ausreichend ist die Begründung dann, wenn sich der Betroffene über die Tragweite des Entscheids Rechenschaft geben und ihn in voller Kenntnis der Sachlage an eine höhere Instanz weiterziehen kann. Dies bedingt, dass wenigstens die Überle- gungen genannt werden, von denen sich die Behörde leiten liess und auf welche sich ihr Entscheid stützt (PKG 1986 Nr. 19; vgl. dazu auch die Verfügungen des Kantonsgerichtspräsidiums Graubünden vom 20. Februar 2003, PZ 03 21 und vom 27. Januar 2004, PZ 03 183). Diesen Anforderungen vermag die Begründung des angefochtenen Ent- scheids in Bezug auf die festgesetzten Unterhaltszahlungen nicht zu genügen, gilt es doch zu berücksichtigen, dass mit diesem Massnahmeentscheid die Unterhalts- pflicht für einen bestimmten Zeitraum definitiv festgelegt wird, und entsprechend hat sich der Entscheid auch mit den massgeblichen Tatsachen und Beweismittel aus- einanderzusetzen. Die Vorinstanz hat sich mit den in den Rechtsschriften der Par- teien angeführten Grundbedarfsberechnungen nicht näher auseinandergesetzt. Es fehlt eine Grundbedarfsberechnung der Vorinstanz. Im Ergebnis ist nicht nachvoll- ziehbar, aufgrund von welchen Berechnungen im Detail die Vorinstanz zum festge- legten Unterhaltsbetrag kommt. Zur korrekten Ermittlung der Unterhaltsbeiträge hat sich das Bezirksgerichtspräsidium aber mit den Grundbedarfsberechnungen der Parteien, der Mittelflussrechnung des Bauernverbandes und den weiteren für die Berechnung relevanten Unterlagen (Krankenkassenprämien, Mietzins- und Wohn- kosten, Steuerrechnungen etc.) zu befassen. Es hat die Parteien dazu anzuhören und allenfalls Ergänzungen zu verlangen. Fehlen Unterlagen für die Berechnung</w:t>
      </w:r>
    </w:p>
    <w:p>
      <w:r>
        <w:rPr>
          <w:b/>
        </w:rPr>
        <w:t>E. 8</w:t>
      </w:r>
    </w:p>
    <w:p>
      <w:r>
        <w:t>des Grundbedarfs, so sind diese beizuziehen bzw. anzufordern. Aufgrund der ge- sammelten Akten und Auskünfte hat die Vorinstanz dann eine Grundbedarfsberech- nung vorzunehmen. Dabei ist dem Einkommen der Bedarf beider Parteien inklusive des Kindes (Grundbetrag, Wohnung, Krankenkassenprämien, etc.) gegenüberzu- stellen. Bei Selbständigerwerbenden ist grundsätzlich auf ein Durchschnittseinkom- men von 3 Jahren abzustellen (vgl. FamPra 2003, S. 173 und 2001 Nr. 66 S. 598). Falls ein hypothetisches Einkommen berücksichtigt wird, ist dieses zu beziffern und zu begründen. Voraussetzung ist allerdings, dass eine entsprechende Einkom- menssteigerung möglich und zumutbar ist (vgl. BGE 119 II 314 ff.). Seitens der Z. stellt sich die Frage, ob die Wiederaufnahme einer Erwerbstätigkeit zumutbar ist. Ob eine Wiederaufnahme zumutbar ist, hängt vor allem vom Alter und von der Ge- sundheit der Frau, vom Einkommen und Vermögen, von Umfang und Dauer der noch zu leistenden Betreuung des Kindes aber auch von der beruflichen Ausbildung und den Erwerbsaussichten ab (vgl. BGE 128 III 65 und BGE 129 III 257). Seitens des X. sind die Einkommenszahlen allenfalls durch ergänzende Abklärungen zu ve- rifizieren, zumal offenbar mehrere Personen im Bauernbetrieb mitarbeiten. Bei der Bedarfsrechnung muss dem Umstand Rechnung getragen werden, dass bei knap- pen finanziellen Mitteln die Steuerlast des Rentenschuldners ausser Acht zu bleiben hat (BGE 126 III 353). Im Weiteren ist bei angespannten finanziellen Verhältnissen zumindest das betreibungsrechtliche Existenzminimum des Rentenschuldners zu schützen. Das Bundesgericht hält aber dann einen potentiellen Eingriff in das Exis- tenzminimum nicht für willkürlich, wenn der Rentenschuldner durch zumutbare Mehranstrengung ein höheres als das aktuelle Einkommen erzielen könnte, es also in seiner eigenen Macht läge, einen wirklichen Eingriff zu vermeiden (BGE 123 III 1 ff.; BGE 127 III 70). Im Resultat kann somit festgehalten werden, dass die angefochtene Verfü- gung den geschilderten Anforderungen nicht zu genügen vermag. Es ist nicht Sache der Rekursinstanz, gewissermassen an Stelle der Vorinstanz, die aktuellen Zahlen zu ermitteln und eine Berechnung der Unterhaltsbeiträge vorzunehmen. Sie über- prüft vielmehr, ob die von der Vorinstanz vorgenommene Berechnung korrekt ist oder nicht. Diese Überprüfung ist vorliegend nicht möglich. Aus diesem Grund sind die Ziffern 3, 4 und 5 der angefochtenen Verfügung aufzuheben und die Sache ist zur Neubeurteilung an die Vorinstanz zurückzuweisen. Das Bezirksgerichtspräsi- dium wird – nachdem es auch eine mündliche Verhandlung durchgeführt hat – einen neuen Entscheid zu erlassen haben, dessen Begründung den gesetzlichen Anfor- derungen entspricht.</w:t>
      </w:r>
    </w:p>
    <w:p>
      <w:r>
        <w:rPr>
          <w:b/>
        </w:rPr>
        <w:t>E. 9</w:t>
      </w:r>
    </w:p>
    <w:p>
      <w:r>
        <w:t>5. Sind die Ziffern 3, 4 und 5 der angefochtenen Verfügung aufzuheben, und wird die Angelegenheit zur Neubeurteilung an die Vorinstanz zurückgewiesen, so wird das Bezirksgerichtspräsidium C. auch die vorinstanzlichen Kosten neu zu verteilen haben. Ziffer 6 der angefochtenen Verfügung ist somit ebenfalls aufzuhe- ben. 6. a) Bei diesem Ausgang des Verfahrens werden für das Rekursverfah- ren keine Kosten erhoben (vgl. PZ 03 21). b) Z. ist mit ihrem Rekurs nicht durchgedrungen, X. dagegen ist mit seinem Hauptantrag auf Rückweisung durchgedrungen. Z. hat somit ihre Aufwen- dungen für das Rekursverfahren selbst zu tragen. Ihr wurde mit Verfügung vom 26. Januar 2005 die Bewilligung der unentgeltlichen Rechtspflege erteilt, weshalb die ihr in diesem Verfahrensabschnitt entstandenen Kosten der anwaltlichen Vertretung dem Kanton Graubünden in Rechnung zu stellen sind. X. wird – zumal Z. nicht zu vertreten hat, dass die Sache zur Neuentscheidung an die Vorinstanz zurückgewie- sen werden muss – aus der Kasse des Kantonsgerichts zu Lasten des Kantons Graubünden eine Umtriebsentschädigung von CHF 1000.- zugesprochen (vgl. PZ 03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